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bookmarkStart w:id="0" w:name="_GoBack"/>
      <w:r>
        <w:rPr>
          <w:rFonts w:hint="eastAsia" w:ascii="仿宋_GB2312" w:hAnsi="仿宋_GB2312" w:eastAsia="仿宋_GB2312" w:cs="仿宋_GB2312"/>
          <w:sz w:val="32"/>
          <w:szCs w:val="32"/>
        </w:rPr>
        <w:t>文物考古勘探检查单</w:t>
      </w:r>
      <w:bookmarkEnd w:id="0"/>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考古勘探情况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是否存在建设单位未在施工前报请考古调查、勘探及未按照规定在编制施工组织设计时安排考古、勘探事项的行为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是否存在建设单位未在施工前报请考古调查、勘探及未按照规定在编制施工组织设计时安排考古、勘探事项的行为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对于符合《北京市地下文物保护管理办法》第九条规定的建设工程，建设单位在施工前报请市文物行政管理部门组织考古发掘单位进行考古调查、勘探，并督促施工单位在编制施工组织设计时，对考古调查、勘探事项进行安排，相关安排应当与施工部署、施工总进度计划相衔接。</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建设单位未在施工前报请市文物行政管理部门组织考古发掘单位进行考古调查、勘探的，施工单位未按照规定在编制施工组织设计时安排考古调查、勘探事项的</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eastAsia"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88706A"/>
    <w:rsid w:val="08E830E6"/>
    <w:rsid w:val="1988706A"/>
    <w:rsid w:val="32472A23"/>
    <w:rsid w:val="3B2D0502"/>
    <w:rsid w:val="474C544E"/>
    <w:rsid w:val="656C5F4B"/>
    <w:rsid w:val="6B0E72F9"/>
    <w:rsid w:val="75E44E9B"/>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2021-09-10T01:02:00Z</dcterms:created>
  <dc:creator>侯东岳</dc:creator>
  <cp:lastModifiedBy>侯东岳</cp:lastModifiedBy>
  <dcterms:modified xsi:type="dcterms:W3CDTF">2021-09-10T01:09:44Z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D3AAD44B9F6844B286DACC5FA10CBC7D</vt:lpwstr>
  </property>
</Properties>
</file>